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AD5163">
        <w:rPr>
          <w:rFonts w:ascii="Arial" w:eastAsia="宋体" w:hAnsi="Arial" w:cs="Arial"/>
          <w:b/>
          <w:sz w:val="24"/>
          <w:lang w:eastAsia="zh-CN"/>
        </w:rPr>
        <w:t>6</w:t>
      </w:r>
      <w:r w:rsidR="00707604">
        <w:rPr>
          <w:rFonts w:ascii="Arial" w:eastAsia="宋体"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w:t>
      </w:r>
      <w:r w:rsidR="006F5DE0">
        <w:rPr>
          <w:rFonts w:ascii="Arial" w:hAnsi="Arial"/>
          <w:b/>
          <w:sz w:val="24"/>
          <w:lang w:eastAsia="zh-CN"/>
        </w:rPr>
        <w:t>10788</w:t>
      </w:r>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w:t>
      </w:r>
      <w:r w:rsidR="00AD5163">
        <w:rPr>
          <w:rFonts w:ascii="Arial" w:eastAsia="宋体" w:hAnsi="Arial"/>
          <w:b/>
          <w:sz w:val="24"/>
          <w:lang w:eastAsia="zh-CN"/>
        </w:rPr>
        <w:t>17</w:t>
      </w:r>
      <w:r w:rsidR="00AD5163" w:rsidRPr="00AD5163">
        <w:rPr>
          <w:rFonts w:ascii="Arial" w:eastAsia="宋体" w:hAnsi="Arial"/>
          <w:b/>
          <w:sz w:val="24"/>
          <w:vertAlign w:val="superscript"/>
          <w:lang w:eastAsia="zh-CN"/>
        </w:rPr>
        <w:t>th</w:t>
      </w:r>
      <w:r w:rsidR="00707604" w:rsidRPr="00707604">
        <w:rPr>
          <w:rFonts w:ascii="Arial" w:eastAsia="宋体" w:hAnsi="Arial"/>
          <w:b/>
          <w:sz w:val="24"/>
          <w:lang w:eastAsia="zh-CN"/>
        </w:rPr>
        <w:t xml:space="preserve"> - </w:t>
      </w:r>
      <w:r w:rsidR="00AD5163">
        <w:rPr>
          <w:rFonts w:ascii="Arial" w:eastAsia="宋体" w:hAnsi="Arial"/>
          <w:b/>
          <w:sz w:val="24"/>
          <w:lang w:eastAsia="zh-CN"/>
        </w:rPr>
        <w:t>28</w:t>
      </w:r>
      <w:r w:rsidR="00707604" w:rsidRPr="00AD5163">
        <w:rPr>
          <w:rFonts w:ascii="Arial" w:eastAsia="宋体" w:hAnsi="Arial"/>
          <w:b/>
          <w:sz w:val="24"/>
          <w:vertAlign w:val="superscript"/>
          <w:lang w:eastAsia="zh-CN"/>
        </w:rPr>
        <w:t>th</w:t>
      </w:r>
      <w:r w:rsidR="00707604" w:rsidRPr="00707604">
        <w:rPr>
          <w:rFonts w:ascii="Arial" w:eastAsia="宋体" w:hAnsi="Arial"/>
          <w:b/>
          <w:sz w:val="24"/>
          <w:lang w:eastAsia="zh-CN"/>
        </w:rPr>
        <w:t xml:space="preserve"> </w:t>
      </w:r>
      <w:r w:rsidR="00AD5163">
        <w:rPr>
          <w:rFonts w:ascii="Arial" w:eastAsia="宋体" w:hAnsi="Arial"/>
          <w:b/>
          <w:sz w:val="24"/>
          <w:lang w:eastAsia="zh-CN"/>
        </w:rPr>
        <w:t>August</w:t>
      </w:r>
      <w:r w:rsidR="00A95604">
        <w:rPr>
          <w:rFonts w:ascii="Arial" w:eastAsia="宋体" w:hAnsi="Arial"/>
          <w:b/>
          <w:sz w:val="24"/>
          <w:lang w:eastAsia="zh-CN"/>
        </w:rPr>
        <w:t>,</w:t>
      </w:r>
      <w:r w:rsidR="00707604" w:rsidRPr="00707604">
        <w:rPr>
          <w:rFonts w:ascii="Arial" w:eastAsia="宋体" w:hAnsi="Arial"/>
          <w:b/>
          <w:sz w:val="24"/>
          <w:lang w:eastAsia="zh-CN"/>
        </w:rPr>
        <w:t xml:space="preserve"> 2020</w:t>
      </w:r>
    </w:p>
    <w:p w:rsidR="00973D39" w:rsidRPr="007D5E3C" w:rsidRDefault="00973D39" w:rsidP="00526E88">
      <w:pPr>
        <w:tabs>
          <w:tab w:val="left" w:pos="420"/>
          <w:tab w:val="left" w:pos="840"/>
          <w:tab w:val="left" w:pos="1260"/>
          <w:tab w:val="left" w:pos="1680"/>
          <w:tab w:val="left" w:pos="2100"/>
          <w:tab w:val="left" w:pos="2520"/>
        </w:tabs>
        <w:jc w:val="both"/>
        <w:rPr>
          <w:rFonts w:ascii="Arial" w:eastAsia="宋体" w:hAnsi="Arial"/>
          <w:b/>
          <w:sz w:val="24"/>
          <w:lang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5423FE" w:rsidRPr="005423FE">
        <w:rPr>
          <w:rFonts w:eastAsia="宋体"/>
          <w:sz w:val="24"/>
          <w:lang w:val="en-US" w:eastAsia="zh-CN"/>
        </w:rPr>
        <w:t>Release independence support of new channel bandwidth from Rel-15</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5423FE">
        <w:rPr>
          <w:rFonts w:eastAsia="宋体"/>
          <w:sz w:val="24"/>
          <w:lang w:val="en-US" w:eastAsia="zh-CN"/>
        </w:rPr>
        <w:t>4.1</w:t>
      </w:r>
    </w:p>
    <w:p w:rsidR="00226A6A" w:rsidRPr="00722CE4" w:rsidRDefault="00226A6A" w:rsidP="00226A6A">
      <w:pPr>
        <w:pStyle w:val="Header"/>
        <w:tabs>
          <w:tab w:val="left" w:pos="1800"/>
        </w:tabs>
        <w:snapToGrid w:val="0"/>
        <w:spacing w:after="240"/>
        <w:jc w:val="both"/>
        <w:rPr>
          <w:rFonts w:eastAsia="宋体"/>
          <w:sz w:val="24"/>
          <w:lang w:val="en-US" w:eastAsia="zh-CN"/>
        </w:rPr>
      </w:pPr>
      <w:r w:rsidRPr="00E94627">
        <w:rPr>
          <w:sz w:val="24"/>
        </w:rPr>
        <w:t>Document for:</w:t>
      </w:r>
      <w:r w:rsidRPr="00E94627">
        <w:rPr>
          <w:sz w:val="24"/>
        </w:rPr>
        <w:tab/>
      </w:r>
      <w:r w:rsidR="00FF18B3">
        <w:rPr>
          <w:rFonts w:eastAsia="宋体"/>
          <w:sz w:val="24"/>
          <w:lang w:val="en-US" w:eastAsia="zh-CN"/>
        </w:rPr>
        <w:t>Dis</w:t>
      </w:r>
      <w:r w:rsidR="00722CE4">
        <w:rPr>
          <w:rFonts w:eastAsia="宋体"/>
          <w:sz w:val="24"/>
          <w:lang w:val="en-US" w:eastAsia="zh-CN"/>
        </w:rPr>
        <w:t>c</w:t>
      </w:r>
      <w:r w:rsidR="00FF18B3">
        <w:rPr>
          <w:rFonts w:eastAsia="宋体"/>
          <w:sz w:val="24"/>
          <w:lang w:val="en-US" w:eastAsia="zh-CN"/>
        </w:rPr>
        <w:t>u</w:t>
      </w:r>
      <w:r w:rsidR="00722CE4">
        <w:rPr>
          <w:rFonts w:eastAsia="宋体"/>
          <w:sz w:val="24"/>
          <w:lang w:val="en-US" w:eastAsia="zh-CN"/>
        </w:rPr>
        <w:t>ssion</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B440FF" w:rsidRDefault="005423FE"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In RAN4#95-e, a WF was agreed on the support of new channel bandwidth to the existing operating bands in a manner of release independent from Rel-15 [1]</w:t>
      </w:r>
      <w:r w:rsidR="003845B4">
        <w:rPr>
          <w:rFonts w:eastAsia="宋体"/>
          <w:sz w:val="21"/>
          <w:szCs w:val="21"/>
          <w:lang w:val="en-US" w:eastAsia="zh-CN"/>
        </w:rPr>
        <w:t xml:space="preserve">. </w:t>
      </w:r>
      <w:r w:rsidR="00CA4C22">
        <w:rPr>
          <w:rFonts w:eastAsia="宋体"/>
          <w:sz w:val="21"/>
          <w:szCs w:val="21"/>
          <w:lang w:val="en-US" w:eastAsia="zh-CN"/>
        </w:rPr>
        <w:t xml:space="preserve">An issue was identified and confirmed for the case where a new channel bandwidth is added to an operating band introduced in Rel-15, and the new channel bandwidth is declared to be release independent from Rel-15. </w:t>
      </w:r>
    </w:p>
    <w:p w:rsidR="00670B13" w:rsidRDefault="00FD7FFC"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 xml:space="preserve">And the open issue is listed as: </w:t>
      </w:r>
    </w:p>
    <w:tbl>
      <w:tblPr>
        <w:tblStyle w:val="TableGrid"/>
        <w:tblW w:w="0" w:type="auto"/>
        <w:tblLook w:val="04A0" w:firstRow="1" w:lastRow="0" w:firstColumn="1" w:lastColumn="0" w:noHBand="0" w:noVBand="1"/>
      </w:tblPr>
      <w:tblGrid>
        <w:gridCol w:w="9288"/>
      </w:tblGrid>
      <w:tr w:rsidR="00517A56" w:rsidRPr="00FD7FFC" w:rsidTr="00517A56">
        <w:tc>
          <w:tcPr>
            <w:tcW w:w="9288" w:type="dxa"/>
          </w:tcPr>
          <w:p w:rsidR="00FD7FFC" w:rsidRPr="00FD7FFC" w:rsidRDefault="00FD7FFC" w:rsidP="00FD7FFC">
            <w:pPr>
              <w:pStyle w:val="ListParagraph"/>
              <w:numPr>
                <w:ilvl w:val="0"/>
                <w:numId w:val="30"/>
              </w:numPr>
              <w:overflowPunct w:val="0"/>
              <w:autoSpaceDE w:val="0"/>
              <w:autoSpaceDN w:val="0"/>
              <w:adjustRightInd w:val="0"/>
              <w:ind w:firstLineChars="0"/>
              <w:textAlignment w:val="baseline"/>
              <w:rPr>
                <w:i/>
                <w:szCs w:val="21"/>
              </w:rPr>
            </w:pPr>
            <w:r w:rsidRPr="00FD7FFC">
              <w:rPr>
                <w:i/>
                <w:szCs w:val="21"/>
              </w:rPr>
              <w:t>How to capture in TS 38.307 Rel-15 ?</w:t>
            </w:r>
          </w:p>
          <w:p w:rsidR="00FD7FFC" w:rsidRPr="00FD7FFC" w:rsidRDefault="00FD7FFC" w:rsidP="00FD7FFC">
            <w:pPr>
              <w:overflowPunct w:val="0"/>
              <w:autoSpaceDE w:val="0"/>
              <w:autoSpaceDN w:val="0"/>
              <w:adjustRightInd w:val="0"/>
              <w:ind w:left="560"/>
              <w:jc w:val="both"/>
              <w:textAlignment w:val="baseline"/>
              <w:rPr>
                <w:rFonts w:eastAsia="宋体"/>
                <w:i/>
                <w:sz w:val="21"/>
                <w:szCs w:val="21"/>
                <w:lang w:eastAsia="zh-CN"/>
              </w:rPr>
            </w:pPr>
          </w:p>
          <w:p w:rsidR="00FD7FFC" w:rsidRPr="00FD7FFC" w:rsidRDefault="00FD7FFC" w:rsidP="00FD7FFC">
            <w:pPr>
              <w:pStyle w:val="ListParagraph"/>
              <w:numPr>
                <w:ilvl w:val="0"/>
                <w:numId w:val="30"/>
              </w:numPr>
              <w:overflowPunct w:val="0"/>
              <w:autoSpaceDE w:val="0"/>
              <w:autoSpaceDN w:val="0"/>
              <w:adjustRightInd w:val="0"/>
              <w:ind w:left="720" w:firstLineChars="0"/>
              <w:textAlignment w:val="baseline"/>
              <w:rPr>
                <w:i/>
                <w:szCs w:val="21"/>
              </w:rPr>
            </w:pPr>
            <w:r w:rsidRPr="00FD7FFC">
              <w:rPr>
                <w:i/>
                <w:szCs w:val="21"/>
              </w:rPr>
              <w:t>Option 1: Fill in the blank for the two tables on operating bands as in Rel-16</w:t>
            </w:r>
          </w:p>
          <w:p w:rsidR="00FD7FFC" w:rsidRPr="00FD7FFC" w:rsidRDefault="00FD7FFC" w:rsidP="00FD7FFC">
            <w:pPr>
              <w:overflowPunct w:val="0"/>
              <w:autoSpaceDE w:val="0"/>
              <w:autoSpaceDN w:val="0"/>
              <w:adjustRightInd w:val="0"/>
              <w:ind w:left="920"/>
              <w:jc w:val="both"/>
              <w:textAlignment w:val="baseline"/>
              <w:rPr>
                <w:rFonts w:eastAsia="宋体"/>
                <w:i/>
                <w:sz w:val="21"/>
                <w:szCs w:val="21"/>
                <w:lang w:eastAsia="zh-CN"/>
              </w:rPr>
            </w:pPr>
          </w:p>
          <w:p w:rsidR="00FD7FFC" w:rsidRPr="00FD7FFC" w:rsidRDefault="00FD7FFC" w:rsidP="00FD7FFC">
            <w:pPr>
              <w:pStyle w:val="ListParagraph"/>
              <w:numPr>
                <w:ilvl w:val="0"/>
                <w:numId w:val="30"/>
              </w:numPr>
              <w:overflowPunct w:val="0"/>
              <w:autoSpaceDE w:val="0"/>
              <w:autoSpaceDN w:val="0"/>
              <w:adjustRightInd w:val="0"/>
              <w:ind w:left="720" w:firstLineChars="0"/>
              <w:textAlignment w:val="baseline"/>
              <w:rPr>
                <w:i/>
                <w:szCs w:val="21"/>
              </w:rPr>
            </w:pPr>
            <w:r w:rsidRPr="00FD7FFC">
              <w:rPr>
                <w:i/>
                <w:szCs w:val="21"/>
              </w:rPr>
              <w:t>Option 2: Add a sentence indicating “new channel bandwidth to an existing operating band” should be treated as a new “operating band”  equivalently</w:t>
            </w:r>
          </w:p>
          <w:p w:rsidR="00FD7FFC" w:rsidRPr="00FD7FFC" w:rsidRDefault="00FD7FFC" w:rsidP="00FD7FFC">
            <w:pPr>
              <w:overflowPunct w:val="0"/>
              <w:autoSpaceDE w:val="0"/>
              <w:autoSpaceDN w:val="0"/>
              <w:adjustRightInd w:val="0"/>
              <w:ind w:left="920"/>
              <w:jc w:val="both"/>
              <w:textAlignment w:val="baseline"/>
              <w:rPr>
                <w:rFonts w:eastAsia="宋体"/>
                <w:i/>
                <w:sz w:val="21"/>
                <w:szCs w:val="21"/>
                <w:lang w:eastAsia="zh-CN"/>
              </w:rPr>
            </w:pPr>
          </w:p>
          <w:p w:rsidR="00FD7FFC" w:rsidRPr="00FD7FFC" w:rsidRDefault="00FD7FFC" w:rsidP="00FD7FFC">
            <w:pPr>
              <w:pStyle w:val="ListParagraph"/>
              <w:numPr>
                <w:ilvl w:val="0"/>
                <w:numId w:val="30"/>
              </w:numPr>
              <w:overflowPunct w:val="0"/>
              <w:autoSpaceDE w:val="0"/>
              <w:autoSpaceDN w:val="0"/>
              <w:adjustRightInd w:val="0"/>
              <w:ind w:left="720" w:firstLineChars="0"/>
              <w:textAlignment w:val="baseline"/>
              <w:rPr>
                <w:i/>
                <w:szCs w:val="21"/>
              </w:rPr>
            </w:pPr>
            <w:r w:rsidRPr="00FD7FFC">
              <w:rPr>
                <w:i/>
                <w:szCs w:val="21"/>
              </w:rPr>
              <w:t>Option 3: Create a new table for “UE channel bandwidth”</w:t>
            </w:r>
          </w:p>
          <w:p w:rsidR="00FD7FFC" w:rsidRPr="00FD7FFC" w:rsidRDefault="00FD7FFC" w:rsidP="00FD7FFC">
            <w:pPr>
              <w:overflowPunct w:val="0"/>
              <w:autoSpaceDE w:val="0"/>
              <w:autoSpaceDN w:val="0"/>
              <w:adjustRightInd w:val="0"/>
              <w:ind w:left="920"/>
              <w:jc w:val="both"/>
              <w:textAlignment w:val="baseline"/>
              <w:rPr>
                <w:rFonts w:eastAsia="宋体"/>
                <w:i/>
                <w:sz w:val="21"/>
                <w:szCs w:val="21"/>
                <w:lang w:eastAsia="zh-CN"/>
              </w:rPr>
            </w:pPr>
          </w:p>
          <w:p w:rsidR="00517A56" w:rsidRPr="00FD7FFC" w:rsidRDefault="00FD7FFC" w:rsidP="00FD7FFC">
            <w:pPr>
              <w:pStyle w:val="ListParagraph"/>
              <w:numPr>
                <w:ilvl w:val="0"/>
                <w:numId w:val="30"/>
              </w:numPr>
              <w:overflowPunct w:val="0"/>
              <w:autoSpaceDE w:val="0"/>
              <w:autoSpaceDN w:val="0"/>
              <w:adjustRightInd w:val="0"/>
              <w:ind w:left="720" w:firstLineChars="0"/>
              <w:textAlignment w:val="baseline"/>
              <w:rPr>
                <w:i/>
                <w:szCs w:val="21"/>
              </w:rPr>
            </w:pPr>
            <w:r w:rsidRPr="00FD7FFC">
              <w:rPr>
                <w:i/>
                <w:szCs w:val="21"/>
              </w:rPr>
              <w:t>Option 4: Other options not precluded</w:t>
            </w:r>
          </w:p>
        </w:tc>
      </w:tr>
    </w:tbl>
    <w:p w:rsidR="0019214A" w:rsidRPr="0019214A" w:rsidRDefault="0019214A" w:rsidP="006F7C9D">
      <w:pPr>
        <w:pStyle w:val="BodyText"/>
        <w:tabs>
          <w:tab w:val="num" w:pos="226"/>
          <w:tab w:val="num" w:pos="284"/>
          <w:tab w:val="left" w:pos="5103"/>
        </w:tabs>
        <w:snapToGrid w:val="0"/>
        <w:spacing w:beforeLines="50" w:before="156"/>
        <w:rPr>
          <w:rFonts w:eastAsia="宋体"/>
          <w:sz w:val="21"/>
          <w:szCs w:val="21"/>
          <w:lang w:val="en-US" w:eastAsia="zh-CN"/>
        </w:rPr>
      </w:pPr>
    </w:p>
    <w:p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811BE6" w:rsidRDefault="00CA4C22"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The WF further agreed that f</w:t>
      </w:r>
      <w:r w:rsidRPr="00CA4C22">
        <w:rPr>
          <w:rFonts w:eastAsia="宋体"/>
          <w:bCs/>
          <w:sz w:val="21"/>
          <w:szCs w:val="21"/>
          <w:lang w:val="en-GB" w:eastAsia="zh-CN"/>
        </w:rPr>
        <w:t>or a new channel bandwidth added to an existing operating band in Rel-15, the release independent support from Rel-15 to the new channel bandwidth should be captured in TS 38.307 Rel-15</w:t>
      </w:r>
      <w:r>
        <w:rPr>
          <w:rFonts w:eastAsia="宋体"/>
          <w:bCs/>
          <w:sz w:val="21"/>
          <w:szCs w:val="21"/>
          <w:lang w:val="en-GB" w:eastAsia="zh-CN"/>
        </w:rPr>
        <w:t xml:space="preserve"> [1].</w:t>
      </w:r>
      <w:r w:rsidR="00CA0720">
        <w:rPr>
          <w:rFonts w:eastAsia="宋体"/>
          <w:bCs/>
          <w:sz w:val="21"/>
          <w:szCs w:val="21"/>
          <w:lang w:val="en-GB" w:eastAsia="zh-CN"/>
        </w:rPr>
        <w:t xml:space="preserve"> </w:t>
      </w:r>
    </w:p>
    <w:p w:rsidR="00CA0720" w:rsidRDefault="00CA0720"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In Rel-16, there are 51 operating bands defined including FDD/TDD/SUL/SDL, and 36 of these 51 operating bands are introduced in Rel-15 [2][3][4][5], as shown in below table. So there is a strong need to fix the issue identified with new emerging market demands for new channel bandwidth support.</w:t>
      </w:r>
    </w:p>
    <w:tbl>
      <w:tblPr>
        <w:tblW w:w="4756" w:type="dxa"/>
        <w:jc w:val="center"/>
        <w:tblLayout w:type="fixed"/>
        <w:tblLook w:val="04A0" w:firstRow="1" w:lastRow="0" w:firstColumn="1" w:lastColumn="0" w:noHBand="0" w:noVBand="1"/>
      </w:tblPr>
      <w:tblGrid>
        <w:gridCol w:w="1980"/>
        <w:gridCol w:w="2520"/>
        <w:gridCol w:w="256"/>
      </w:tblGrid>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766F5B">
            <w:pPr>
              <w:pStyle w:val="TAH"/>
              <w:ind w:left="-113"/>
            </w:pPr>
            <w:r w:rsidRPr="00835F44">
              <w:lastRenderedPageBreak/>
              <w:t>NR operating band</w:t>
            </w:r>
            <w:r w:rsidR="00766F5B">
              <w:t xml:space="preserve"> introduced in Rel-15</w:t>
            </w:r>
          </w:p>
        </w:tc>
        <w:tc>
          <w:tcPr>
            <w:tcW w:w="2520" w:type="dxa"/>
            <w:tcBorders>
              <w:top w:val="single" w:sz="4" w:space="0" w:color="auto"/>
              <w:left w:val="single" w:sz="4" w:space="0" w:color="auto"/>
              <w:bottom w:val="nil"/>
              <w:right w:val="single" w:sz="4" w:space="0" w:color="auto"/>
            </w:tcBorders>
            <w:hideMark/>
          </w:tcPr>
          <w:p w:rsidR="00FC6E04" w:rsidRPr="001C0CC4" w:rsidRDefault="00FC6E04" w:rsidP="00FC6E04">
            <w:pPr>
              <w:pStyle w:val="TAH"/>
            </w:pPr>
            <w:r w:rsidRPr="001C0CC4">
              <w:t>NR operating band</w:t>
            </w:r>
            <w:r>
              <w:t xml:space="preserve"> introduced in Rel-16</w:t>
            </w:r>
          </w:p>
        </w:tc>
        <w:tc>
          <w:tcPr>
            <w:tcW w:w="256" w:type="dxa"/>
          </w:tcPr>
          <w:p w:rsidR="00FC6E04" w:rsidRPr="00835F44" w:rsidRDefault="00FC6E04" w:rsidP="00FC6E04">
            <w:pPr>
              <w:pStyle w:val="TAH"/>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n1</w:t>
            </w:r>
          </w:p>
        </w:tc>
        <w:tc>
          <w:tcPr>
            <w:tcW w:w="2520" w:type="dxa"/>
            <w:tcBorders>
              <w:top w:val="single" w:sz="4" w:space="0" w:color="auto"/>
              <w:left w:val="single" w:sz="4" w:space="0" w:color="auto"/>
              <w:bottom w:val="nil"/>
              <w:right w:val="single" w:sz="4" w:space="0" w:color="auto"/>
            </w:tcBorders>
          </w:tcPr>
          <w:p w:rsidR="00FC6E04" w:rsidRPr="0063374E" w:rsidRDefault="00FC6E04" w:rsidP="00FC6E04">
            <w:pPr>
              <w:pStyle w:val="TAC"/>
              <w:rPr>
                <w:b/>
                <w:color w:val="0070C0"/>
              </w:rPr>
            </w:pPr>
            <w:r w:rsidRPr="0063374E">
              <w:rPr>
                <w:b/>
                <w:color w:val="0070C0"/>
              </w:rPr>
              <w:t>n14</w:t>
            </w: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n2</w:t>
            </w:r>
          </w:p>
        </w:tc>
        <w:tc>
          <w:tcPr>
            <w:tcW w:w="2520" w:type="dxa"/>
            <w:tcBorders>
              <w:top w:val="single" w:sz="4" w:space="0" w:color="auto"/>
              <w:left w:val="single" w:sz="4" w:space="0" w:color="auto"/>
              <w:bottom w:val="nil"/>
              <w:right w:val="single" w:sz="4" w:space="0" w:color="auto"/>
            </w:tcBorders>
          </w:tcPr>
          <w:p w:rsidR="00FC6E04" w:rsidRPr="0063374E" w:rsidRDefault="00FC6E04" w:rsidP="00FC6E04">
            <w:pPr>
              <w:pStyle w:val="TAC"/>
              <w:rPr>
                <w:b/>
                <w:color w:val="0070C0"/>
              </w:rPr>
            </w:pPr>
            <w:r w:rsidRPr="0063374E">
              <w:rPr>
                <w:rFonts w:eastAsia="Yu Mincho" w:hint="eastAsia"/>
                <w:b/>
                <w:color w:val="0070C0"/>
                <w:lang w:eastAsia="ja-JP"/>
              </w:rPr>
              <w:t>n</w:t>
            </w:r>
            <w:r w:rsidRPr="0063374E">
              <w:rPr>
                <w:rFonts w:eastAsia="Yu Mincho"/>
                <w:b/>
                <w:color w:val="0070C0"/>
                <w:lang w:eastAsia="ja-JP"/>
              </w:rPr>
              <w:t>18</w:t>
            </w: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n3</w:t>
            </w:r>
          </w:p>
        </w:tc>
        <w:tc>
          <w:tcPr>
            <w:tcW w:w="2520" w:type="dxa"/>
            <w:tcBorders>
              <w:top w:val="single" w:sz="4" w:space="0" w:color="auto"/>
              <w:left w:val="single" w:sz="4" w:space="0" w:color="auto"/>
              <w:bottom w:val="nil"/>
              <w:right w:val="single" w:sz="4" w:space="0" w:color="auto"/>
            </w:tcBorders>
          </w:tcPr>
          <w:p w:rsidR="00FC6E04" w:rsidRPr="0063374E" w:rsidRDefault="00FC6E04" w:rsidP="00FC6E04">
            <w:pPr>
              <w:pStyle w:val="TAC"/>
              <w:rPr>
                <w:b/>
                <w:color w:val="0070C0"/>
              </w:rPr>
            </w:pPr>
            <w:r w:rsidRPr="0063374E">
              <w:rPr>
                <w:b/>
                <w:color w:val="0070C0"/>
              </w:rPr>
              <w:t>n26</w:t>
            </w: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n5</w:t>
            </w:r>
          </w:p>
        </w:tc>
        <w:tc>
          <w:tcPr>
            <w:tcW w:w="2520" w:type="dxa"/>
            <w:tcBorders>
              <w:top w:val="single" w:sz="4" w:space="0" w:color="auto"/>
              <w:left w:val="single" w:sz="4" w:space="0" w:color="auto"/>
              <w:bottom w:val="nil"/>
              <w:right w:val="single" w:sz="4" w:space="0" w:color="auto"/>
            </w:tcBorders>
          </w:tcPr>
          <w:p w:rsidR="00FC6E04" w:rsidRPr="0063374E" w:rsidRDefault="00FC6E04" w:rsidP="00FC6E04">
            <w:pPr>
              <w:pStyle w:val="TAC"/>
              <w:rPr>
                <w:b/>
                <w:color w:val="0070C0"/>
              </w:rPr>
            </w:pPr>
            <w:r w:rsidRPr="0063374E">
              <w:rPr>
                <w:b/>
                <w:color w:val="0070C0"/>
              </w:rPr>
              <w:t>n29</w:t>
            </w: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n7</w:t>
            </w:r>
          </w:p>
        </w:tc>
        <w:tc>
          <w:tcPr>
            <w:tcW w:w="2520" w:type="dxa"/>
            <w:tcBorders>
              <w:top w:val="single" w:sz="4" w:space="0" w:color="auto"/>
              <w:left w:val="single" w:sz="4" w:space="0" w:color="auto"/>
              <w:bottom w:val="nil"/>
              <w:right w:val="single" w:sz="4" w:space="0" w:color="auto"/>
            </w:tcBorders>
          </w:tcPr>
          <w:p w:rsidR="00FC6E04" w:rsidRPr="0063374E" w:rsidRDefault="00FC6E04" w:rsidP="00FC6E04">
            <w:pPr>
              <w:pStyle w:val="TAC"/>
              <w:rPr>
                <w:b/>
                <w:color w:val="0070C0"/>
              </w:rPr>
            </w:pPr>
            <w:r w:rsidRPr="0063374E">
              <w:rPr>
                <w:b/>
                <w:color w:val="0070C0"/>
              </w:rPr>
              <w:t>n30</w:t>
            </w: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n8</w:t>
            </w:r>
          </w:p>
        </w:tc>
        <w:tc>
          <w:tcPr>
            <w:tcW w:w="2520" w:type="dxa"/>
            <w:tcBorders>
              <w:top w:val="single" w:sz="4" w:space="0" w:color="auto"/>
              <w:left w:val="single" w:sz="4" w:space="0" w:color="auto"/>
              <w:bottom w:val="nil"/>
              <w:right w:val="single" w:sz="4" w:space="0" w:color="auto"/>
            </w:tcBorders>
          </w:tcPr>
          <w:p w:rsidR="00FC6E04" w:rsidRPr="0063374E" w:rsidRDefault="00FC6E04" w:rsidP="00FC6E04">
            <w:pPr>
              <w:pStyle w:val="TAC"/>
              <w:rPr>
                <w:b/>
                <w:color w:val="0070C0"/>
              </w:rPr>
            </w:pPr>
            <w:r w:rsidRPr="0063374E">
              <w:rPr>
                <w:rFonts w:eastAsia="Malgun Gothic"/>
                <w:b/>
                <w:color w:val="0070C0"/>
                <w:lang w:eastAsia="ko-KR"/>
              </w:rPr>
              <w:t>n47</w:t>
            </w: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n12</w:t>
            </w:r>
          </w:p>
        </w:tc>
        <w:tc>
          <w:tcPr>
            <w:tcW w:w="2520" w:type="dxa"/>
            <w:tcBorders>
              <w:top w:val="single" w:sz="4" w:space="0" w:color="auto"/>
              <w:left w:val="single" w:sz="4" w:space="0" w:color="auto"/>
              <w:bottom w:val="nil"/>
              <w:right w:val="single" w:sz="4" w:space="0" w:color="auto"/>
            </w:tcBorders>
          </w:tcPr>
          <w:p w:rsidR="00FC6E04" w:rsidRPr="0063374E" w:rsidRDefault="00FC6E04" w:rsidP="00FC6E04">
            <w:pPr>
              <w:pStyle w:val="TAC"/>
              <w:rPr>
                <w:b/>
                <w:color w:val="0070C0"/>
              </w:rPr>
            </w:pPr>
            <w:r w:rsidRPr="0063374E">
              <w:rPr>
                <w:b/>
                <w:color w:val="0070C0"/>
              </w:rPr>
              <w:t>n48</w:t>
            </w: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n20</w:t>
            </w:r>
          </w:p>
        </w:tc>
        <w:tc>
          <w:tcPr>
            <w:tcW w:w="2520" w:type="dxa"/>
            <w:tcBorders>
              <w:top w:val="single" w:sz="4" w:space="0" w:color="auto"/>
              <w:left w:val="single" w:sz="4" w:space="0" w:color="auto"/>
              <w:bottom w:val="nil"/>
              <w:right w:val="single" w:sz="4" w:space="0" w:color="auto"/>
            </w:tcBorders>
          </w:tcPr>
          <w:p w:rsidR="00FC6E04" w:rsidRPr="0063374E" w:rsidRDefault="00FC6E04" w:rsidP="00FC6E04">
            <w:pPr>
              <w:pStyle w:val="TAC"/>
              <w:rPr>
                <w:b/>
                <w:color w:val="0070C0"/>
              </w:rPr>
            </w:pPr>
            <w:r w:rsidRPr="0063374E">
              <w:rPr>
                <w:b/>
                <w:color w:val="0070C0"/>
              </w:rPr>
              <w:t>n53</w:t>
            </w: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n25</w:t>
            </w:r>
          </w:p>
        </w:tc>
        <w:tc>
          <w:tcPr>
            <w:tcW w:w="2520" w:type="dxa"/>
            <w:tcBorders>
              <w:top w:val="single" w:sz="4" w:space="0" w:color="auto"/>
              <w:left w:val="single" w:sz="4" w:space="0" w:color="auto"/>
              <w:bottom w:val="nil"/>
              <w:right w:val="single" w:sz="4" w:space="0" w:color="auto"/>
            </w:tcBorders>
          </w:tcPr>
          <w:p w:rsidR="00FC6E04" w:rsidRPr="0063374E" w:rsidRDefault="00FC6E04" w:rsidP="00FC6E04">
            <w:pPr>
              <w:pStyle w:val="TAC"/>
              <w:rPr>
                <w:b/>
                <w:color w:val="0070C0"/>
              </w:rPr>
            </w:pPr>
            <w:r w:rsidRPr="0063374E">
              <w:rPr>
                <w:b/>
                <w:color w:val="0070C0"/>
              </w:rPr>
              <w:t>n65</w:t>
            </w: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n28</w:t>
            </w:r>
          </w:p>
        </w:tc>
        <w:tc>
          <w:tcPr>
            <w:tcW w:w="2520" w:type="dxa"/>
            <w:tcBorders>
              <w:top w:val="single" w:sz="4" w:space="0" w:color="auto"/>
              <w:left w:val="single" w:sz="4" w:space="0" w:color="auto"/>
              <w:bottom w:val="nil"/>
              <w:right w:val="single" w:sz="4" w:space="0" w:color="auto"/>
            </w:tcBorders>
          </w:tcPr>
          <w:p w:rsidR="00FC6E04" w:rsidRPr="0063374E" w:rsidRDefault="00FC6E04" w:rsidP="00FC6E04">
            <w:pPr>
              <w:pStyle w:val="TAC"/>
              <w:rPr>
                <w:b/>
                <w:color w:val="0070C0"/>
              </w:rPr>
            </w:pPr>
            <w:r w:rsidRPr="0063374E">
              <w:rPr>
                <w:rFonts w:hint="eastAsia"/>
                <w:b/>
                <w:color w:val="0070C0"/>
                <w:lang w:eastAsia="zh-CN"/>
              </w:rPr>
              <w:t>n</w:t>
            </w:r>
            <w:r w:rsidRPr="0063374E">
              <w:rPr>
                <w:b/>
                <w:color w:val="0070C0"/>
                <w:lang w:eastAsia="zh-CN"/>
              </w:rPr>
              <w:t>89</w:t>
            </w: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n34</w:t>
            </w:r>
          </w:p>
        </w:tc>
        <w:tc>
          <w:tcPr>
            <w:tcW w:w="2520" w:type="dxa"/>
            <w:tcBorders>
              <w:top w:val="single" w:sz="4" w:space="0" w:color="auto"/>
              <w:left w:val="single" w:sz="4" w:space="0" w:color="auto"/>
              <w:bottom w:val="nil"/>
              <w:right w:val="single" w:sz="4" w:space="0" w:color="auto"/>
            </w:tcBorders>
          </w:tcPr>
          <w:p w:rsidR="00FC6E04" w:rsidRPr="0063374E" w:rsidRDefault="00FC6E04" w:rsidP="00FC6E04">
            <w:pPr>
              <w:pStyle w:val="TAC"/>
              <w:rPr>
                <w:b/>
                <w:color w:val="0070C0"/>
              </w:rPr>
            </w:pPr>
            <w:r w:rsidRPr="0063374E">
              <w:rPr>
                <w:b/>
                <w:color w:val="0070C0"/>
              </w:rPr>
              <w:t>n90</w:t>
            </w: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n38</w:t>
            </w:r>
          </w:p>
        </w:tc>
        <w:tc>
          <w:tcPr>
            <w:tcW w:w="2520" w:type="dxa"/>
            <w:tcBorders>
              <w:top w:val="single" w:sz="4" w:space="0" w:color="auto"/>
              <w:left w:val="single" w:sz="4" w:space="0" w:color="auto"/>
              <w:bottom w:val="nil"/>
              <w:right w:val="single" w:sz="4" w:space="0" w:color="auto"/>
            </w:tcBorders>
          </w:tcPr>
          <w:p w:rsidR="00FC6E04" w:rsidRPr="0063374E" w:rsidRDefault="00FC6E04" w:rsidP="00FC6E04">
            <w:pPr>
              <w:pStyle w:val="TAC"/>
              <w:rPr>
                <w:b/>
                <w:color w:val="0070C0"/>
                <w:lang w:eastAsia="zh-CN"/>
              </w:rPr>
            </w:pPr>
            <w:r w:rsidRPr="0063374E">
              <w:rPr>
                <w:b/>
                <w:color w:val="0070C0"/>
                <w:lang w:eastAsia="zh-CN"/>
              </w:rPr>
              <w:t>n91</w:t>
            </w: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n39</w:t>
            </w:r>
          </w:p>
        </w:tc>
        <w:tc>
          <w:tcPr>
            <w:tcW w:w="2520" w:type="dxa"/>
            <w:tcBorders>
              <w:top w:val="single" w:sz="4" w:space="0" w:color="auto"/>
              <w:left w:val="single" w:sz="4" w:space="0" w:color="auto"/>
              <w:bottom w:val="nil"/>
              <w:right w:val="single" w:sz="4" w:space="0" w:color="auto"/>
            </w:tcBorders>
            <w:hideMark/>
          </w:tcPr>
          <w:p w:rsidR="00FC6E04" w:rsidRPr="0063374E" w:rsidRDefault="00FC6E04" w:rsidP="00FC6E04">
            <w:pPr>
              <w:pStyle w:val="TAC"/>
              <w:rPr>
                <w:b/>
                <w:color w:val="0070C0"/>
                <w:lang w:eastAsia="zh-CN"/>
              </w:rPr>
            </w:pPr>
            <w:r w:rsidRPr="0063374E">
              <w:rPr>
                <w:b/>
                <w:color w:val="0070C0"/>
                <w:lang w:eastAsia="zh-CN"/>
              </w:rPr>
              <w:t>n92</w:t>
            </w: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n40</w:t>
            </w:r>
          </w:p>
        </w:tc>
        <w:tc>
          <w:tcPr>
            <w:tcW w:w="2520" w:type="dxa"/>
            <w:tcBorders>
              <w:top w:val="single" w:sz="4" w:space="0" w:color="auto"/>
              <w:left w:val="single" w:sz="4" w:space="0" w:color="auto"/>
              <w:bottom w:val="nil"/>
              <w:right w:val="single" w:sz="4" w:space="0" w:color="auto"/>
            </w:tcBorders>
          </w:tcPr>
          <w:p w:rsidR="00FC6E04" w:rsidRPr="0063374E" w:rsidRDefault="00FC6E04" w:rsidP="00FC6E04">
            <w:pPr>
              <w:pStyle w:val="TAC"/>
              <w:rPr>
                <w:b/>
                <w:color w:val="0070C0"/>
                <w:lang w:eastAsia="zh-CN"/>
              </w:rPr>
            </w:pPr>
            <w:r w:rsidRPr="0063374E">
              <w:rPr>
                <w:b/>
                <w:color w:val="0070C0"/>
                <w:lang w:eastAsia="zh-CN"/>
              </w:rPr>
              <w:t>n93</w:t>
            </w: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n41</w:t>
            </w:r>
          </w:p>
        </w:tc>
        <w:tc>
          <w:tcPr>
            <w:tcW w:w="2520" w:type="dxa"/>
            <w:tcBorders>
              <w:top w:val="single" w:sz="4" w:space="0" w:color="auto"/>
              <w:left w:val="single" w:sz="4" w:space="0" w:color="auto"/>
              <w:bottom w:val="nil"/>
              <w:right w:val="single" w:sz="4" w:space="0" w:color="auto"/>
            </w:tcBorders>
          </w:tcPr>
          <w:p w:rsidR="00FC6E04" w:rsidRPr="0063374E" w:rsidRDefault="00FC6E04" w:rsidP="00FC6E04">
            <w:pPr>
              <w:pStyle w:val="TAC"/>
              <w:rPr>
                <w:b/>
                <w:color w:val="0070C0"/>
                <w:lang w:eastAsia="zh-CN"/>
              </w:rPr>
            </w:pPr>
            <w:r w:rsidRPr="0063374E">
              <w:rPr>
                <w:b/>
                <w:color w:val="0070C0"/>
                <w:lang w:eastAsia="zh-CN"/>
              </w:rPr>
              <w:t>n94</w:t>
            </w: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n50</w:t>
            </w:r>
          </w:p>
        </w:tc>
        <w:tc>
          <w:tcPr>
            <w:tcW w:w="2520" w:type="dxa"/>
            <w:tcBorders>
              <w:top w:val="single" w:sz="4" w:space="0" w:color="auto"/>
              <w:left w:val="single" w:sz="4" w:space="0" w:color="auto"/>
              <w:bottom w:val="nil"/>
              <w:right w:val="single" w:sz="4" w:space="0" w:color="auto"/>
            </w:tcBorders>
          </w:tcPr>
          <w:p w:rsidR="00FC6E04" w:rsidRPr="0063374E" w:rsidRDefault="00FC6E04" w:rsidP="00FC6E04">
            <w:pPr>
              <w:pStyle w:val="TAC"/>
              <w:rPr>
                <w:b/>
                <w:color w:val="0070C0"/>
              </w:rPr>
            </w:pPr>
            <w:r w:rsidRPr="0063374E">
              <w:rPr>
                <w:rFonts w:hint="eastAsia"/>
                <w:b/>
                <w:color w:val="0070C0"/>
                <w:lang w:eastAsia="zh-CN"/>
              </w:rPr>
              <w:t>n95</w:t>
            </w: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n51</w:t>
            </w:r>
          </w:p>
        </w:tc>
        <w:tc>
          <w:tcPr>
            <w:tcW w:w="2520" w:type="dxa"/>
            <w:tcBorders>
              <w:top w:val="single" w:sz="4" w:space="0" w:color="auto"/>
              <w:left w:val="single" w:sz="4" w:space="0" w:color="auto"/>
              <w:bottom w:val="nil"/>
              <w:right w:val="single" w:sz="4" w:space="0" w:color="auto"/>
            </w:tcBorders>
          </w:tcPr>
          <w:p w:rsidR="00FC6E04" w:rsidRPr="001C0CC4" w:rsidRDefault="00FC6E04" w:rsidP="00FC6E04">
            <w:pPr>
              <w:pStyle w:val="TAC"/>
            </w:pP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n66</w:t>
            </w:r>
          </w:p>
        </w:tc>
        <w:tc>
          <w:tcPr>
            <w:tcW w:w="2520" w:type="dxa"/>
            <w:tcBorders>
              <w:top w:val="single" w:sz="4" w:space="0" w:color="auto"/>
              <w:left w:val="single" w:sz="4" w:space="0" w:color="auto"/>
              <w:bottom w:val="nil"/>
              <w:right w:val="single" w:sz="4" w:space="0" w:color="auto"/>
            </w:tcBorders>
          </w:tcPr>
          <w:p w:rsidR="00FC6E04" w:rsidRPr="001C0CC4" w:rsidRDefault="00FC6E04" w:rsidP="00FC6E04">
            <w:pPr>
              <w:pStyle w:val="TAC"/>
            </w:pP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n70</w:t>
            </w:r>
          </w:p>
        </w:tc>
        <w:tc>
          <w:tcPr>
            <w:tcW w:w="2520" w:type="dxa"/>
            <w:tcBorders>
              <w:top w:val="single" w:sz="4" w:space="0" w:color="auto"/>
              <w:left w:val="single" w:sz="4" w:space="0" w:color="auto"/>
              <w:bottom w:val="nil"/>
              <w:right w:val="single" w:sz="4" w:space="0" w:color="auto"/>
            </w:tcBorders>
          </w:tcPr>
          <w:p w:rsidR="00FC6E04" w:rsidRPr="001C0CC4" w:rsidRDefault="00FC6E04" w:rsidP="00FC6E04">
            <w:pPr>
              <w:pStyle w:val="TAC"/>
            </w:pP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n71</w:t>
            </w:r>
          </w:p>
        </w:tc>
        <w:tc>
          <w:tcPr>
            <w:tcW w:w="2520" w:type="dxa"/>
            <w:tcBorders>
              <w:top w:val="single" w:sz="4" w:space="0" w:color="auto"/>
              <w:left w:val="single" w:sz="4" w:space="0" w:color="auto"/>
              <w:bottom w:val="nil"/>
              <w:right w:val="single" w:sz="4" w:space="0" w:color="auto"/>
            </w:tcBorders>
          </w:tcPr>
          <w:p w:rsidR="00FC6E04" w:rsidRPr="001C0CC4" w:rsidRDefault="00FC6E04" w:rsidP="00FC6E04">
            <w:pPr>
              <w:pStyle w:val="TAC"/>
            </w:pPr>
          </w:p>
        </w:tc>
        <w:tc>
          <w:tcPr>
            <w:tcW w:w="256" w:type="dxa"/>
          </w:tcPr>
          <w:p w:rsidR="00FC6E04" w:rsidRPr="00835F44" w:rsidRDefault="00FC6E04" w:rsidP="00FC6E04">
            <w:pPr>
              <w:pStyle w:val="TAC"/>
            </w:pPr>
          </w:p>
        </w:tc>
      </w:tr>
      <w:tr w:rsidR="00FC6E04" w:rsidRPr="009469D2"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n74</w:t>
            </w:r>
          </w:p>
        </w:tc>
        <w:tc>
          <w:tcPr>
            <w:tcW w:w="2520" w:type="dxa"/>
            <w:tcBorders>
              <w:top w:val="single" w:sz="4" w:space="0" w:color="auto"/>
              <w:left w:val="single" w:sz="4" w:space="0" w:color="auto"/>
              <w:bottom w:val="nil"/>
              <w:right w:val="single" w:sz="4" w:space="0" w:color="auto"/>
            </w:tcBorders>
          </w:tcPr>
          <w:p w:rsidR="00FC6E04" w:rsidRPr="009469D2" w:rsidRDefault="00FC6E04" w:rsidP="00FC6E04">
            <w:pPr>
              <w:pStyle w:val="TAC"/>
              <w:rPr>
                <w:rFonts w:eastAsia="Malgun Gothic"/>
                <w:lang w:eastAsia="ko-KR"/>
              </w:rPr>
            </w:pP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n75</w:t>
            </w:r>
          </w:p>
        </w:tc>
        <w:tc>
          <w:tcPr>
            <w:tcW w:w="2520" w:type="dxa"/>
            <w:tcBorders>
              <w:top w:val="single" w:sz="4" w:space="0" w:color="auto"/>
              <w:left w:val="single" w:sz="4" w:space="0" w:color="auto"/>
              <w:bottom w:val="nil"/>
              <w:right w:val="single" w:sz="4" w:space="0" w:color="auto"/>
            </w:tcBorders>
          </w:tcPr>
          <w:p w:rsidR="00FC6E04" w:rsidRPr="001C0CC4" w:rsidRDefault="00FC6E04" w:rsidP="00FC6E04">
            <w:pPr>
              <w:pStyle w:val="TAC"/>
            </w:pP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n76</w:t>
            </w:r>
          </w:p>
        </w:tc>
        <w:tc>
          <w:tcPr>
            <w:tcW w:w="2520" w:type="dxa"/>
            <w:tcBorders>
              <w:top w:val="single" w:sz="4" w:space="0" w:color="auto"/>
              <w:left w:val="single" w:sz="4" w:space="0" w:color="auto"/>
              <w:bottom w:val="nil"/>
              <w:right w:val="single" w:sz="4" w:space="0" w:color="auto"/>
            </w:tcBorders>
          </w:tcPr>
          <w:p w:rsidR="00FC6E04" w:rsidRPr="001C0CC4" w:rsidRDefault="00FC6E04" w:rsidP="00FC6E04">
            <w:pPr>
              <w:pStyle w:val="TAC"/>
            </w:pP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n77</w:t>
            </w:r>
          </w:p>
        </w:tc>
        <w:tc>
          <w:tcPr>
            <w:tcW w:w="2520" w:type="dxa"/>
            <w:tcBorders>
              <w:top w:val="single" w:sz="4" w:space="0" w:color="auto"/>
              <w:left w:val="single" w:sz="4" w:space="0" w:color="auto"/>
              <w:bottom w:val="nil"/>
              <w:right w:val="single" w:sz="4" w:space="0" w:color="auto"/>
            </w:tcBorders>
          </w:tcPr>
          <w:p w:rsidR="00FC6E04" w:rsidRPr="001C0CC4" w:rsidRDefault="00FC6E04" w:rsidP="00FC6E04">
            <w:pPr>
              <w:pStyle w:val="TAC"/>
            </w:pP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n78</w:t>
            </w:r>
          </w:p>
        </w:tc>
        <w:tc>
          <w:tcPr>
            <w:tcW w:w="2520" w:type="dxa"/>
            <w:tcBorders>
              <w:top w:val="single" w:sz="4" w:space="0" w:color="auto"/>
              <w:left w:val="single" w:sz="4" w:space="0" w:color="auto"/>
              <w:bottom w:val="nil"/>
              <w:right w:val="single" w:sz="4" w:space="0" w:color="auto"/>
            </w:tcBorders>
          </w:tcPr>
          <w:p w:rsidR="00FC6E04" w:rsidRPr="001C0CC4" w:rsidRDefault="00FC6E04" w:rsidP="00FC6E04">
            <w:pPr>
              <w:pStyle w:val="TAC"/>
            </w:pP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n79</w:t>
            </w:r>
          </w:p>
        </w:tc>
        <w:tc>
          <w:tcPr>
            <w:tcW w:w="2520" w:type="dxa"/>
            <w:tcBorders>
              <w:top w:val="single" w:sz="4" w:space="0" w:color="auto"/>
              <w:left w:val="single" w:sz="4" w:space="0" w:color="auto"/>
              <w:bottom w:val="nil"/>
              <w:right w:val="single" w:sz="4" w:space="0" w:color="auto"/>
            </w:tcBorders>
          </w:tcPr>
          <w:p w:rsidR="00FC6E04" w:rsidRPr="001C0CC4" w:rsidRDefault="00FC6E04" w:rsidP="00FC6E04">
            <w:pPr>
              <w:pStyle w:val="TAC"/>
            </w:pP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n80</w:t>
            </w:r>
          </w:p>
        </w:tc>
        <w:tc>
          <w:tcPr>
            <w:tcW w:w="2520" w:type="dxa"/>
            <w:tcBorders>
              <w:top w:val="single" w:sz="4" w:space="0" w:color="auto"/>
              <w:left w:val="single" w:sz="4" w:space="0" w:color="auto"/>
              <w:bottom w:val="nil"/>
              <w:right w:val="single" w:sz="4" w:space="0" w:color="auto"/>
            </w:tcBorders>
          </w:tcPr>
          <w:p w:rsidR="00FC6E04" w:rsidRPr="001C0CC4" w:rsidRDefault="00FC6E04" w:rsidP="00FC6E04">
            <w:pPr>
              <w:pStyle w:val="TAC"/>
            </w:pP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n81</w:t>
            </w:r>
          </w:p>
        </w:tc>
        <w:tc>
          <w:tcPr>
            <w:tcW w:w="2520" w:type="dxa"/>
            <w:tcBorders>
              <w:top w:val="single" w:sz="4" w:space="0" w:color="auto"/>
              <w:left w:val="single" w:sz="4" w:space="0" w:color="auto"/>
              <w:bottom w:val="nil"/>
              <w:right w:val="single" w:sz="4" w:space="0" w:color="auto"/>
            </w:tcBorders>
          </w:tcPr>
          <w:p w:rsidR="00FC6E04" w:rsidRPr="001C0CC4" w:rsidRDefault="00FC6E04" w:rsidP="00FC6E04">
            <w:pPr>
              <w:pStyle w:val="TAC"/>
            </w:pP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n82</w:t>
            </w:r>
          </w:p>
        </w:tc>
        <w:tc>
          <w:tcPr>
            <w:tcW w:w="2520" w:type="dxa"/>
            <w:tcBorders>
              <w:top w:val="single" w:sz="4" w:space="0" w:color="auto"/>
              <w:left w:val="single" w:sz="4" w:space="0" w:color="auto"/>
              <w:bottom w:val="nil"/>
              <w:right w:val="single" w:sz="4" w:space="0" w:color="auto"/>
            </w:tcBorders>
          </w:tcPr>
          <w:p w:rsidR="00FC6E04" w:rsidRPr="001C0CC4" w:rsidRDefault="00FC6E04" w:rsidP="00FC6E04">
            <w:pPr>
              <w:pStyle w:val="TAC"/>
            </w:pP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nil"/>
              <w:right w:val="single" w:sz="4" w:space="0" w:color="auto"/>
            </w:tcBorders>
          </w:tcPr>
          <w:p w:rsidR="00FC6E04" w:rsidRPr="00835F44" w:rsidRDefault="00FC6E04" w:rsidP="00FC6E04">
            <w:pPr>
              <w:pStyle w:val="TAC"/>
            </w:pPr>
            <w:r w:rsidRPr="00835F44">
              <w:t>n83</w:t>
            </w:r>
          </w:p>
        </w:tc>
        <w:tc>
          <w:tcPr>
            <w:tcW w:w="2520" w:type="dxa"/>
            <w:tcBorders>
              <w:top w:val="single" w:sz="4" w:space="0" w:color="auto"/>
              <w:left w:val="single" w:sz="4" w:space="0" w:color="auto"/>
              <w:bottom w:val="nil"/>
              <w:right w:val="single" w:sz="4" w:space="0" w:color="auto"/>
            </w:tcBorders>
          </w:tcPr>
          <w:p w:rsidR="00FC6E04" w:rsidRPr="001C0CC4" w:rsidRDefault="00FC6E04" w:rsidP="00FC6E04">
            <w:pPr>
              <w:pStyle w:val="TAC"/>
            </w:pP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single" w:sz="4" w:space="0" w:color="auto"/>
              <w:right w:val="single" w:sz="4" w:space="0" w:color="auto"/>
            </w:tcBorders>
          </w:tcPr>
          <w:p w:rsidR="00FC6E04" w:rsidRPr="00835F44" w:rsidRDefault="00FC6E04" w:rsidP="00FC6E04">
            <w:pPr>
              <w:pStyle w:val="TAC"/>
            </w:pPr>
            <w:r w:rsidRPr="00835F44">
              <w:t>n84</w:t>
            </w:r>
          </w:p>
        </w:tc>
        <w:tc>
          <w:tcPr>
            <w:tcW w:w="2520" w:type="dxa"/>
            <w:tcBorders>
              <w:top w:val="single" w:sz="4" w:space="0" w:color="auto"/>
              <w:left w:val="single" w:sz="4" w:space="0" w:color="auto"/>
              <w:bottom w:val="single" w:sz="4" w:space="0" w:color="auto"/>
              <w:right w:val="single" w:sz="4" w:space="0" w:color="auto"/>
            </w:tcBorders>
          </w:tcPr>
          <w:p w:rsidR="00FC6E04" w:rsidRPr="001C0CC4" w:rsidRDefault="00FC6E04" w:rsidP="00FC6E04">
            <w:pPr>
              <w:pStyle w:val="TAC"/>
            </w:pPr>
          </w:p>
        </w:tc>
        <w:tc>
          <w:tcPr>
            <w:tcW w:w="256" w:type="dxa"/>
          </w:tcPr>
          <w:p w:rsidR="00FC6E04" w:rsidRPr="00835F44" w:rsidRDefault="00FC6E04" w:rsidP="00FC6E04">
            <w:pPr>
              <w:pStyle w:val="TAC"/>
            </w:pPr>
          </w:p>
        </w:tc>
      </w:tr>
      <w:tr w:rsidR="00FC6E04" w:rsidRPr="001C0CC4" w:rsidTr="00766F5B">
        <w:trPr>
          <w:jc w:val="center"/>
        </w:trPr>
        <w:tc>
          <w:tcPr>
            <w:tcW w:w="1980" w:type="dxa"/>
            <w:tcBorders>
              <w:top w:val="single" w:sz="4" w:space="0" w:color="auto"/>
              <w:left w:val="single" w:sz="4" w:space="0" w:color="auto"/>
              <w:bottom w:val="single" w:sz="4" w:space="0" w:color="auto"/>
              <w:right w:val="single" w:sz="4" w:space="0" w:color="auto"/>
            </w:tcBorders>
          </w:tcPr>
          <w:p w:rsidR="00FC6E04" w:rsidRPr="00835F44" w:rsidRDefault="00FC6E04" w:rsidP="00FC6E04">
            <w:pPr>
              <w:pStyle w:val="TAC"/>
              <w:rPr>
                <w:b/>
              </w:rPr>
            </w:pPr>
            <w:r w:rsidRPr="00835F44">
              <w:t>n86</w:t>
            </w:r>
          </w:p>
        </w:tc>
        <w:tc>
          <w:tcPr>
            <w:tcW w:w="2520" w:type="dxa"/>
            <w:tcBorders>
              <w:top w:val="single" w:sz="4" w:space="0" w:color="auto"/>
              <w:left w:val="single" w:sz="4" w:space="0" w:color="auto"/>
              <w:bottom w:val="single" w:sz="4" w:space="0" w:color="auto"/>
              <w:right w:val="single" w:sz="4" w:space="0" w:color="auto"/>
            </w:tcBorders>
          </w:tcPr>
          <w:p w:rsidR="00FC6E04" w:rsidRPr="001C0CC4" w:rsidRDefault="00FC6E04" w:rsidP="00FC6E04">
            <w:pPr>
              <w:pStyle w:val="TAC"/>
            </w:pPr>
          </w:p>
        </w:tc>
        <w:tc>
          <w:tcPr>
            <w:tcW w:w="256" w:type="dxa"/>
          </w:tcPr>
          <w:p w:rsidR="00FC6E04" w:rsidRPr="00835F44" w:rsidRDefault="00FC6E04" w:rsidP="00FC6E04">
            <w:pPr>
              <w:pStyle w:val="TAC"/>
              <w:rPr>
                <w:b/>
              </w:rPr>
            </w:pPr>
          </w:p>
        </w:tc>
      </w:tr>
      <w:tr w:rsidR="00766F5B" w:rsidRPr="001C0CC4" w:rsidTr="00F85206">
        <w:trPr>
          <w:jc w:val="center"/>
        </w:trPr>
        <w:tc>
          <w:tcPr>
            <w:tcW w:w="1980" w:type="dxa"/>
            <w:tcBorders>
              <w:top w:val="single" w:sz="4" w:space="0" w:color="auto"/>
              <w:left w:val="single" w:sz="4" w:space="0" w:color="auto"/>
              <w:bottom w:val="single" w:sz="4" w:space="0" w:color="auto"/>
              <w:right w:val="single" w:sz="4" w:space="0" w:color="auto"/>
            </w:tcBorders>
            <w:vAlign w:val="bottom"/>
          </w:tcPr>
          <w:p w:rsidR="00766F5B" w:rsidRPr="007513A5" w:rsidRDefault="00766F5B" w:rsidP="00766F5B">
            <w:pPr>
              <w:pStyle w:val="TAC"/>
            </w:pPr>
            <w:r w:rsidRPr="007513A5">
              <w:t>n257</w:t>
            </w:r>
          </w:p>
        </w:tc>
        <w:tc>
          <w:tcPr>
            <w:tcW w:w="2520" w:type="dxa"/>
            <w:tcBorders>
              <w:top w:val="single" w:sz="4" w:space="0" w:color="auto"/>
              <w:left w:val="single" w:sz="4" w:space="0" w:color="auto"/>
              <w:bottom w:val="single" w:sz="4" w:space="0" w:color="auto"/>
              <w:right w:val="single" w:sz="4" w:space="0" w:color="auto"/>
            </w:tcBorders>
          </w:tcPr>
          <w:p w:rsidR="00766F5B" w:rsidRPr="0063374E" w:rsidRDefault="00B54853" w:rsidP="00766F5B">
            <w:pPr>
              <w:pStyle w:val="TAC"/>
              <w:rPr>
                <w:b/>
              </w:rPr>
            </w:pPr>
            <w:r w:rsidRPr="0063374E">
              <w:rPr>
                <w:b/>
                <w:color w:val="0070C0"/>
              </w:rPr>
              <w:t>n</w:t>
            </w:r>
            <w:r w:rsidR="00BF109E" w:rsidRPr="0063374E">
              <w:rPr>
                <w:b/>
                <w:color w:val="0070C0"/>
              </w:rPr>
              <w:t>259</w:t>
            </w:r>
          </w:p>
        </w:tc>
        <w:tc>
          <w:tcPr>
            <w:tcW w:w="256" w:type="dxa"/>
          </w:tcPr>
          <w:p w:rsidR="00766F5B" w:rsidRPr="00835F44" w:rsidRDefault="00766F5B" w:rsidP="00766F5B">
            <w:pPr>
              <w:pStyle w:val="TAC"/>
              <w:rPr>
                <w:b/>
              </w:rPr>
            </w:pPr>
          </w:p>
        </w:tc>
      </w:tr>
      <w:tr w:rsidR="00766F5B" w:rsidRPr="001C0CC4" w:rsidTr="00F85206">
        <w:trPr>
          <w:jc w:val="center"/>
        </w:trPr>
        <w:tc>
          <w:tcPr>
            <w:tcW w:w="1980" w:type="dxa"/>
            <w:tcBorders>
              <w:top w:val="single" w:sz="4" w:space="0" w:color="auto"/>
              <w:left w:val="single" w:sz="4" w:space="0" w:color="auto"/>
              <w:bottom w:val="single" w:sz="4" w:space="0" w:color="auto"/>
              <w:right w:val="single" w:sz="4" w:space="0" w:color="auto"/>
            </w:tcBorders>
            <w:vAlign w:val="bottom"/>
          </w:tcPr>
          <w:p w:rsidR="00766F5B" w:rsidRPr="007513A5" w:rsidRDefault="00766F5B" w:rsidP="00766F5B">
            <w:pPr>
              <w:pStyle w:val="TAC"/>
            </w:pPr>
            <w:r w:rsidRPr="007513A5">
              <w:t>n258</w:t>
            </w:r>
          </w:p>
        </w:tc>
        <w:tc>
          <w:tcPr>
            <w:tcW w:w="2520" w:type="dxa"/>
            <w:tcBorders>
              <w:top w:val="single" w:sz="4" w:space="0" w:color="auto"/>
              <w:left w:val="single" w:sz="4" w:space="0" w:color="auto"/>
              <w:bottom w:val="single" w:sz="4" w:space="0" w:color="auto"/>
              <w:right w:val="single" w:sz="4" w:space="0" w:color="auto"/>
            </w:tcBorders>
          </w:tcPr>
          <w:p w:rsidR="00766F5B" w:rsidRPr="001C0CC4" w:rsidRDefault="00766F5B" w:rsidP="00766F5B">
            <w:pPr>
              <w:pStyle w:val="TAC"/>
            </w:pPr>
          </w:p>
        </w:tc>
        <w:tc>
          <w:tcPr>
            <w:tcW w:w="256" w:type="dxa"/>
          </w:tcPr>
          <w:p w:rsidR="00766F5B" w:rsidRPr="00835F44" w:rsidRDefault="00766F5B" w:rsidP="00766F5B">
            <w:pPr>
              <w:pStyle w:val="TAC"/>
              <w:rPr>
                <w:b/>
              </w:rPr>
            </w:pPr>
          </w:p>
        </w:tc>
      </w:tr>
      <w:tr w:rsidR="00766F5B" w:rsidRPr="001C0CC4" w:rsidTr="00F85206">
        <w:trPr>
          <w:jc w:val="center"/>
        </w:trPr>
        <w:tc>
          <w:tcPr>
            <w:tcW w:w="1980" w:type="dxa"/>
            <w:tcBorders>
              <w:top w:val="single" w:sz="4" w:space="0" w:color="auto"/>
              <w:left w:val="single" w:sz="4" w:space="0" w:color="auto"/>
              <w:bottom w:val="single" w:sz="4" w:space="0" w:color="auto"/>
              <w:right w:val="single" w:sz="4" w:space="0" w:color="auto"/>
            </w:tcBorders>
            <w:vAlign w:val="bottom"/>
          </w:tcPr>
          <w:p w:rsidR="00766F5B" w:rsidRPr="007513A5" w:rsidRDefault="00766F5B" w:rsidP="00766F5B">
            <w:pPr>
              <w:pStyle w:val="TAC"/>
            </w:pPr>
            <w:r w:rsidRPr="007513A5">
              <w:t>n260</w:t>
            </w:r>
          </w:p>
        </w:tc>
        <w:tc>
          <w:tcPr>
            <w:tcW w:w="2520" w:type="dxa"/>
            <w:tcBorders>
              <w:top w:val="single" w:sz="4" w:space="0" w:color="auto"/>
              <w:left w:val="single" w:sz="4" w:space="0" w:color="auto"/>
              <w:bottom w:val="single" w:sz="4" w:space="0" w:color="auto"/>
              <w:right w:val="single" w:sz="4" w:space="0" w:color="auto"/>
            </w:tcBorders>
          </w:tcPr>
          <w:p w:rsidR="00766F5B" w:rsidRPr="001C0CC4" w:rsidRDefault="00766F5B" w:rsidP="00766F5B">
            <w:pPr>
              <w:pStyle w:val="TAC"/>
            </w:pPr>
          </w:p>
        </w:tc>
        <w:tc>
          <w:tcPr>
            <w:tcW w:w="256" w:type="dxa"/>
          </w:tcPr>
          <w:p w:rsidR="00766F5B" w:rsidRPr="00835F44" w:rsidRDefault="00766F5B" w:rsidP="00766F5B">
            <w:pPr>
              <w:pStyle w:val="TAC"/>
              <w:rPr>
                <w:b/>
              </w:rPr>
            </w:pPr>
          </w:p>
        </w:tc>
      </w:tr>
      <w:tr w:rsidR="00766F5B" w:rsidRPr="001C0CC4" w:rsidTr="00F85206">
        <w:trPr>
          <w:jc w:val="center"/>
        </w:trPr>
        <w:tc>
          <w:tcPr>
            <w:tcW w:w="1980" w:type="dxa"/>
            <w:tcBorders>
              <w:top w:val="single" w:sz="4" w:space="0" w:color="auto"/>
              <w:left w:val="single" w:sz="4" w:space="0" w:color="auto"/>
              <w:bottom w:val="single" w:sz="4" w:space="0" w:color="auto"/>
              <w:right w:val="single" w:sz="4" w:space="0" w:color="auto"/>
            </w:tcBorders>
            <w:vAlign w:val="bottom"/>
          </w:tcPr>
          <w:p w:rsidR="00766F5B" w:rsidRPr="007513A5" w:rsidRDefault="00766F5B" w:rsidP="00766F5B">
            <w:pPr>
              <w:pStyle w:val="TAC"/>
            </w:pPr>
            <w:r w:rsidRPr="007513A5">
              <w:rPr>
                <w:rFonts w:cs="Arial"/>
                <w:szCs w:val="18"/>
              </w:rPr>
              <w:t>n261</w:t>
            </w:r>
          </w:p>
        </w:tc>
        <w:tc>
          <w:tcPr>
            <w:tcW w:w="2520" w:type="dxa"/>
            <w:tcBorders>
              <w:top w:val="single" w:sz="4" w:space="0" w:color="auto"/>
              <w:left w:val="single" w:sz="4" w:space="0" w:color="auto"/>
              <w:bottom w:val="single" w:sz="4" w:space="0" w:color="auto"/>
              <w:right w:val="single" w:sz="4" w:space="0" w:color="auto"/>
            </w:tcBorders>
          </w:tcPr>
          <w:p w:rsidR="00766F5B" w:rsidRPr="001C0CC4" w:rsidRDefault="00766F5B" w:rsidP="00766F5B">
            <w:pPr>
              <w:pStyle w:val="TAC"/>
            </w:pPr>
          </w:p>
        </w:tc>
        <w:tc>
          <w:tcPr>
            <w:tcW w:w="256" w:type="dxa"/>
          </w:tcPr>
          <w:p w:rsidR="00766F5B" w:rsidRPr="00835F44" w:rsidRDefault="00766F5B" w:rsidP="00766F5B">
            <w:pPr>
              <w:pStyle w:val="TAC"/>
              <w:rPr>
                <w:b/>
              </w:rPr>
            </w:pPr>
          </w:p>
        </w:tc>
      </w:tr>
    </w:tbl>
    <w:p w:rsidR="00FC6E04" w:rsidRDefault="00FC6E04" w:rsidP="009B2891">
      <w:pPr>
        <w:pStyle w:val="BodyText"/>
        <w:tabs>
          <w:tab w:val="num" w:pos="226"/>
          <w:tab w:val="num" w:pos="284"/>
          <w:tab w:val="left" w:pos="5103"/>
        </w:tabs>
        <w:snapToGrid w:val="0"/>
        <w:rPr>
          <w:rFonts w:eastAsia="宋体"/>
          <w:bCs/>
          <w:sz w:val="21"/>
          <w:szCs w:val="21"/>
          <w:lang w:val="en-GB" w:eastAsia="zh-CN"/>
        </w:rPr>
      </w:pPr>
    </w:p>
    <w:p w:rsidR="0063374E" w:rsidRDefault="0063374E"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To fix the issue, a reasonable solution is consistent with the Rel-16 version by filling the blank part of the two tables involved. </w:t>
      </w:r>
      <w:r w:rsidR="00FB239F">
        <w:rPr>
          <w:rFonts w:eastAsia="宋体"/>
          <w:bCs/>
          <w:sz w:val="21"/>
          <w:szCs w:val="21"/>
          <w:lang w:val="en-GB" w:eastAsia="zh-CN"/>
        </w:rPr>
        <w:t>Our companion draft CR can be found in [6].</w:t>
      </w:r>
    </w:p>
    <w:p w:rsidR="009C0ACA" w:rsidRDefault="00D93AFA" w:rsidP="009C0ACA">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sidR="00AE4BA5">
        <w:rPr>
          <w:rFonts w:eastAsia="宋体"/>
          <w:b/>
          <w:bCs/>
          <w:sz w:val="21"/>
          <w:szCs w:val="21"/>
          <w:lang w:val="en-GB" w:eastAsia="zh-CN"/>
        </w:rPr>
        <w:t xml:space="preserve"> </w:t>
      </w:r>
      <w:r w:rsidRPr="009C0ACA">
        <w:rPr>
          <w:rFonts w:eastAsia="宋体"/>
          <w:b/>
          <w:bCs/>
          <w:sz w:val="21"/>
          <w:szCs w:val="21"/>
          <w:lang w:val="en-GB" w:eastAsia="zh-CN"/>
        </w:rPr>
        <w:t xml:space="preserve">: </w:t>
      </w:r>
      <w:r w:rsidR="0063374E">
        <w:rPr>
          <w:rFonts w:eastAsia="宋体"/>
          <w:b/>
          <w:bCs/>
          <w:sz w:val="21"/>
          <w:szCs w:val="21"/>
          <w:lang w:val="en-GB" w:eastAsia="zh-CN"/>
        </w:rPr>
        <w:t xml:space="preserve">Take Option 1 to fix the issue on the release independence support from Rel-15 of </w:t>
      </w:r>
      <w:r w:rsidR="00EA2557">
        <w:rPr>
          <w:rFonts w:eastAsia="宋体"/>
          <w:b/>
          <w:bCs/>
          <w:sz w:val="21"/>
          <w:szCs w:val="21"/>
          <w:lang w:val="en-GB" w:eastAsia="zh-CN"/>
        </w:rPr>
        <w:t xml:space="preserve">a </w:t>
      </w:r>
      <w:r w:rsidR="0063374E">
        <w:rPr>
          <w:rFonts w:eastAsia="宋体"/>
          <w:b/>
          <w:bCs/>
          <w:sz w:val="21"/>
          <w:szCs w:val="21"/>
          <w:lang w:val="en-GB" w:eastAsia="zh-CN"/>
        </w:rPr>
        <w:t>new channel bandwidth added to an existing operating band introduced in Rel-15.</w:t>
      </w:r>
    </w:p>
    <w:p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lang w:val="en-US" w:eastAsia="zh-CN"/>
        </w:rPr>
        <w:lastRenderedPageBreak/>
        <w:t>Conclusion</w:t>
      </w:r>
    </w:p>
    <w:p w:rsidR="003E361E" w:rsidRDefault="009C0ACA" w:rsidP="009B2891">
      <w:pPr>
        <w:pStyle w:val="BodyText"/>
        <w:tabs>
          <w:tab w:val="num" w:pos="226"/>
          <w:tab w:val="num" w:pos="284"/>
          <w:tab w:val="left" w:pos="5103"/>
        </w:tabs>
        <w:snapToGrid w:val="0"/>
        <w:rPr>
          <w:rFonts w:eastAsia="宋体"/>
          <w:b/>
          <w:bCs/>
          <w:sz w:val="21"/>
          <w:szCs w:val="21"/>
          <w:lang w:val="en-GB" w:eastAsia="zh-CN"/>
        </w:rPr>
      </w:pPr>
      <w:r w:rsidRPr="009C0ACA">
        <w:rPr>
          <w:rFonts w:eastAsia="宋体"/>
          <w:bCs/>
          <w:sz w:val="21"/>
          <w:szCs w:val="21"/>
          <w:lang w:val="en-GB" w:eastAsia="zh-CN"/>
        </w:rPr>
        <w:t xml:space="preserve">In this </w:t>
      </w:r>
      <w:r>
        <w:rPr>
          <w:rFonts w:eastAsia="宋体"/>
          <w:bCs/>
          <w:sz w:val="21"/>
          <w:szCs w:val="21"/>
          <w:lang w:val="en-GB" w:eastAsia="zh-CN"/>
        </w:rPr>
        <w:t xml:space="preserve">paper, we have the following proposal for </w:t>
      </w:r>
      <w:r w:rsidR="00FB239F">
        <w:rPr>
          <w:rFonts w:eastAsia="宋体"/>
          <w:bCs/>
          <w:sz w:val="21"/>
          <w:szCs w:val="21"/>
          <w:lang w:val="en-GB" w:eastAsia="zh-CN"/>
        </w:rPr>
        <w:t>the release independence support from Rel-15 of new channel bandwidth added to an existing operating band introduced in Rel-15.</w:t>
      </w:r>
    </w:p>
    <w:p w:rsidR="00FB239F" w:rsidRDefault="00FB239F" w:rsidP="00FB239F">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w:t>
      </w:r>
      <w:r w:rsidRPr="009C0ACA">
        <w:rPr>
          <w:rFonts w:eastAsia="宋体"/>
          <w:b/>
          <w:bCs/>
          <w:sz w:val="21"/>
          <w:szCs w:val="21"/>
          <w:lang w:val="en-GB" w:eastAsia="zh-CN"/>
        </w:rPr>
        <w:t xml:space="preserve">: </w:t>
      </w:r>
      <w:r>
        <w:rPr>
          <w:rFonts w:eastAsia="宋体"/>
          <w:b/>
          <w:bCs/>
          <w:sz w:val="21"/>
          <w:szCs w:val="21"/>
          <w:lang w:val="en-GB" w:eastAsia="zh-CN"/>
        </w:rPr>
        <w:t xml:space="preserve">Take Option 1 to fix the issue on the release independence support from Rel-15 of </w:t>
      </w:r>
      <w:r w:rsidR="00F53479">
        <w:rPr>
          <w:rFonts w:eastAsia="宋体"/>
          <w:b/>
          <w:bCs/>
          <w:sz w:val="21"/>
          <w:szCs w:val="21"/>
          <w:lang w:val="en-GB" w:eastAsia="zh-CN"/>
        </w:rPr>
        <w:t xml:space="preserve">a </w:t>
      </w:r>
      <w:r>
        <w:rPr>
          <w:rFonts w:eastAsia="宋体"/>
          <w:b/>
          <w:bCs/>
          <w:sz w:val="21"/>
          <w:szCs w:val="21"/>
          <w:lang w:val="en-GB" w:eastAsia="zh-CN"/>
        </w:rPr>
        <w:t>new channel bandwidth added to an existing operating band introduced in Rel-15.</w:t>
      </w:r>
    </w:p>
    <w:p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A208FC" w:rsidRPr="00FC6E04" w:rsidRDefault="00D0160F" w:rsidP="008A3E12">
      <w:pPr>
        <w:pStyle w:val="List2"/>
      </w:pPr>
      <w:r w:rsidRPr="00D0160F">
        <w:t>R</w:t>
      </w:r>
      <w:r w:rsidR="008A3E12">
        <w:t xml:space="preserve">4-2008384, </w:t>
      </w:r>
      <w:r w:rsidR="008A3E12" w:rsidRPr="008A3E12">
        <w:rPr>
          <w:lang w:val="en-US"/>
        </w:rPr>
        <w:t>WF on supporting a new channel bandwidth added to an existing operating bands in a manner of release independence from Rel-15</w:t>
      </w:r>
      <w:r w:rsidR="008A3E12">
        <w:rPr>
          <w:lang w:val="en-US"/>
        </w:rPr>
        <w:t>, ZTE</w:t>
      </w:r>
    </w:p>
    <w:p w:rsidR="00FC6E04" w:rsidRPr="00FC6E04" w:rsidRDefault="00FC6E04" w:rsidP="008A3E12">
      <w:pPr>
        <w:pStyle w:val="List2"/>
      </w:pPr>
      <w:r>
        <w:rPr>
          <w:lang w:val="en-US"/>
        </w:rPr>
        <w:t>TS 38.101-1 v 15.10.0</w:t>
      </w:r>
    </w:p>
    <w:p w:rsidR="00FC6E04" w:rsidRPr="00FC6E04" w:rsidRDefault="00FC6E04" w:rsidP="008A3E12">
      <w:pPr>
        <w:pStyle w:val="List2"/>
      </w:pPr>
      <w:r>
        <w:rPr>
          <w:lang w:val="en-US"/>
        </w:rPr>
        <w:t>TS 38.101-1 v 16.4.0</w:t>
      </w:r>
    </w:p>
    <w:p w:rsidR="00FC6E04" w:rsidRPr="00FC6E04" w:rsidRDefault="00FC6E04" w:rsidP="008A3E12">
      <w:pPr>
        <w:pStyle w:val="List2"/>
      </w:pPr>
      <w:r>
        <w:rPr>
          <w:lang w:val="en-US"/>
        </w:rPr>
        <w:t>TS 38.101-2 v 15.10.0</w:t>
      </w:r>
    </w:p>
    <w:p w:rsidR="00FC6E04" w:rsidRPr="00C00B8B" w:rsidRDefault="00FC6E04" w:rsidP="008A3E12">
      <w:pPr>
        <w:pStyle w:val="List2"/>
      </w:pPr>
      <w:r>
        <w:rPr>
          <w:lang w:val="en-US"/>
        </w:rPr>
        <w:t>TS 38.101-2 v 16.4.0</w:t>
      </w:r>
    </w:p>
    <w:p w:rsidR="00C00B8B" w:rsidRPr="00183F7C" w:rsidRDefault="00C00B8B" w:rsidP="008A3E12">
      <w:pPr>
        <w:pStyle w:val="List2"/>
      </w:pPr>
      <w:r>
        <w:rPr>
          <w:lang w:val="en-US"/>
        </w:rPr>
        <w:t>R4-20</w:t>
      </w:r>
      <w:r w:rsidR="006F5DE0">
        <w:rPr>
          <w:lang w:val="en-US"/>
        </w:rPr>
        <w:t>10789</w:t>
      </w:r>
      <w:bookmarkStart w:id="0" w:name="_GoBack"/>
      <w:bookmarkEnd w:id="0"/>
      <w:r>
        <w:rPr>
          <w:lang w:val="en-US"/>
        </w:rPr>
        <w:t>, draft CR to TS 38.307 on release independence support from Rel-15 of a new channel bandwidth added to an existing operating band introduced in Rel-15, ZTE</w:t>
      </w:r>
    </w:p>
    <w:sectPr w:rsidR="00C00B8B"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F62" w:rsidRDefault="00902F62" w:rsidP="00E7784C">
      <w:r>
        <w:separator/>
      </w:r>
    </w:p>
  </w:endnote>
  <w:endnote w:type="continuationSeparator" w:id="0">
    <w:p w:rsidR="00902F62" w:rsidRDefault="00902F62"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6F5DE0" w:rsidRPr="006F5DE0">
      <w:rPr>
        <w:noProof/>
        <w:lang w:val="zh-CN" w:eastAsia="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F62" w:rsidRDefault="00902F62" w:rsidP="00E7784C">
      <w:r>
        <w:separator/>
      </w:r>
    </w:p>
  </w:footnote>
  <w:footnote w:type="continuationSeparator" w:id="0">
    <w:p w:rsidR="00902F62" w:rsidRDefault="00902F62"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9"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D6D1F8F"/>
    <w:multiLevelType w:val="hybridMultilevel"/>
    <w:tmpl w:val="46B60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6"/>
  </w:num>
  <w:num w:numId="3">
    <w:abstractNumId w:val="18"/>
  </w:num>
  <w:num w:numId="4">
    <w:abstractNumId w:val="11"/>
  </w:num>
  <w:num w:numId="5">
    <w:abstractNumId w:val="14"/>
  </w:num>
  <w:num w:numId="6">
    <w:abstractNumId w:val="0"/>
  </w:num>
  <w:num w:numId="7">
    <w:abstractNumId w:val="19"/>
  </w:num>
  <w:num w:numId="8">
    <w:abstractNumId w:val="7"/>
  </w:num>
  <w:num w:numId="9">
    <w:abstractNumId w:val="5"/>
  </w:num>
  <w:num w:numId="10">
    <w:abstractNumId w:val="13"/>
  </w:num>
  <w:num w:numId="11">
    <w:abstractNumId w:val="1"/>
  </w:num>
  <w:num w:numId="12">
    <w:abstractNumId w:val="18"/>
  </w:num>
  <w:num w:numId="13">
    <w:abstractNumId w:val="18"/>
  </w:num>
  <w:num w:numId="14">
    <w:abstractNumId w:val="18"/>
  </w:num>
  <w:num w:numId="15">
    <w:abstractNumId w:val="10"/>
  </w:num>
  <w:num w:numId="16">
    <w:abstractNumId w:val="15"/>
  </w:num>
  <w:num w:numId="17">
    <w:abstractNumId w:val="18"/>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7"/>
  </w:num>
  <w:num w:numId="27">
    <w:abstractNumId w:val="21"/>
  </w:num>
  <w:num w:numId="28">
    <w:abstractNumId w:val="20"/>
  </w:num>
  <w:num w:numId="29">
    <w:abstractNumId w:val="12"/>
  </w:num>
  <w:num w:numId="30">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23FE"/>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2B23"/>
    <w:rsid w:val="006134A0"/>
    <w:rsid w:val="00614B74"/>
    <w:rsid w:val="00615436"/>
    <w:rsid w:val="00616C77"/>
    <w:rsid w:val="00616D01"/>
    <w:rsid w:val="00617C58"/>
    <w:rsid w:val="0062049F"/>
    <w:rsid w:val="0062206E"/>
    <w:rsid w:val="00624A40"/>
    <w:rsid w:val="0063035A"/>
    <w:rsid w:val="0063189F"/>
    <w:rsid w:val="00632832"/>
    <w:rsid w:val="00633146"/>
    <w:rsid w:val="0063374E"/>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5DE0"/>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6E9"/>
    <w:rsid w:val="00764A7C"/>
    <w:rsid w:val="00764EDC"/>
    <w:rsid w:val="0076594C"/>
    <w:rsid w:val="007661D9"/>
    <w:rsid w:val="007667DE"/>
    <w:rsid w:val="00766F5B"/>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F64"/>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3E12"/>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2F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4853"/>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09E"/>
    <w:rsid w:val="00BF1746"/>
    <w:rsid w:val="00BF253D"/>
    <w:rsid w:val="00BF2D02"/>
    <w:rsid w:val="00BF48CE"/>
    <w:rsid w:val="00BF5118"/>
    <w:rsid w:val="00BF6FE3"/>
    <w:rsid w:val="00BF72EF"/>
    <w:rsid w:val="00BF7572"/>
    <w:rsid w:val="00BF76BE"/>
    <w:rsid w:val="00C00B8B"/>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0720"/>
    <w:rsid w:val="00CA1F76"/>
    <w:rsid w:val="00CA268C"/>
    <w:rsid w:val="00CA2A37"/>
    <w:rsid w:val="00CA2A75"/>
    <w:rsid w:val="00CA4621"/>
    <w:rsid w:val="00CA4C22"/>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3356"/>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5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3479"/>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239F"/>
    <w:rsid w:val="00FB3735"/>
    <w:rsid w:val="00FB47DB"/>
    <w:rsid w:val="00FB4D43"/>
    <w:rsid w:val="00FB5379"/>
    <w:rsid w:val="00FC0441"/>
    <w:rsid w:val="00FC0860"/>
    <w:rsid w:val="00FC1AB5"/>
    <w:rsid w:val="00FC2392"/>
    <w:rsid w:val="00FC3743"/>
    <w:rsid w:val="00FC6E04"/>
    <w:rsid w:val="00FC73CD"/>
    <w:rsid w:val="00FC7560"/>
    <w:rsid w:val="00FD122F"/>
    <w:rsid w:val="00FD1708"/>
    <w:rsid w:val="00FD1B97"/>
    <w:rsid w:val="00FD1F2C"/>
    <w:rsid w:val="00FD22AB"/>
    <w:rsid w:val="00FD25E5"/>
    <w:rsid w:val="00FD3023"/>
    <w:rsid w:val="00FD4261"/>
    <w:rsid w:val="00FD4B55"/>
    <w:rsid w:val="00FD591D"/>
    <w:rsid w:val="00FD6FB3"/>
    <w:rsid w:val="00FD7FFC"/>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47709B-EB9E-49E1-AFF8-1DF0E5EFA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18</cp:revision>
  <cp:lastPrinted>2015-02-02T11:17:00Z</cp:lastPrinted>
  <dcterms:created xsi:type="dcterms:W3CDTF">2020-08-07T10:11:00Z</dcterms:created>
  <dcterms:modified xsi:type="dcterms:W3CDTF">2020-08-07T13:11:00Z</dcterms:modified>
</cp:coreProperties>
</file>